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5B" w:rsidRDefault="00E952D7" w:rsidP="0003415B">
      <w:pPr>
        <w:rPr>
          <w:rFonts w:ascii="Calibri" w:hAnsi="Calibri"/>
          <w:sz w:val="2"/>
          <w:szCs w:val="2"/>
        </w:rPr>
      </w:pPr>
      <w:r>
        <w:rPr>
          <w:noProof/>
        </w:rPr>
        <w:drawing>
          <wp:inline distT="0" distB="0" distL="0" distR="0" wp14:anchorId="2156973A" wp14:editId="646A162E">
            <wp:extent cx="707390" cy="509270"/>
            <wp:effectExtent l="0" t="0" r="0" b="5080"/>
            <wp:docPr id="2" name="Obraz 2" descr="LogoMWSE_nowe_ciem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MWSE_nowe_ciem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4"/>
      </w:tblGrid>
      <w:tr w:rsidR="0003415B" w:rsidTr="0003415B">
        <w:trPr>
          <w:jc w:val="center"/>
        </w:trPr>
        <w:tc>
          <w:tcPr>
            <w:tcW w:w="9114" w:type="dxa"/>
            <w:hideMark/>
          </w:tcPr>
          <w:p w:rsidR="0003415B" w:rsidRDefault="0003415B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16"/>
              </w:rPr>
            </w:pPr>
            <w:r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03415B" w:rsidRDefault="0003415B">
            <w:pPr>
              <w:pStyle w:val="Nagwek"/>
              <w:ind w:left="4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10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2973"/>
        <w:gridCol w:w="2973"/>
      </w:tblGrid>
      <w:tr w:rsidR="0003415B" w:rsidTr="0003415B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  <w:szCs w:val="28"/>
              </w:rPr>
              <w:t>Zarządzanie wartością dla klienta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Customer</w:t>
            </w:r>
            <w:proofErr w:type="spellEnd"/>
            <w:r>
              <w:rPr>
                <w:rFonts w:ascii="Calibri" w:hAnsi="Calibri"/>
                <w:sz w:val="20"/>
              </w:rPr>
              <w:t xml:space="preserve"> Value Management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Zarządzanie 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ogólnoakademicki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studia niestacjonarne 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specjalnościowy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wyboru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 stopnień 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język polski 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Rok akademicki i semestr realizacji modułu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III, IV, V, VI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03415B" w:rsidTr="0003415B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Forma modułu: ćwiczenia</w:t>
            </w:r>
          </w:p>
        </w:tc>
      </w:tr>
      <w:tr w:rsidR="0003415B" w:rsidTr="0003415B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3415B" w:rsidRDefault="0003415B">
            <w:pPr>
              <w:jc w:val="center"/>
              <w:rPr>
                <w:rFonts w:ascii="Calibri" w:hAnsi="Calibri"/>
              </w:rPr>
            </w:pP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Jednostka realizująca moduł (katedra/zakład)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Katedra Zarządzania </w:t>
            </w:r>
          </w:p>
        </w:tc>
      </w:tr>
      <w:tr w:rsidR="0003415B" w:rsidTr="0003415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Podstawy zarządzania, Marketing, Badania marketingowe</w:t>
            </w:r>
          </w:p>
        </w:tc>
      </w:tr>
    </w:tbl>
    <w:p w:rsidR="0003415B" w:rsidRDefault="0003415B" w:rsidP="0003415B">
      <w:pPr>
        <w:jc w:val="center"/>
        <w:rPr>
          <w:rFonts w:ascii="Calibri" w:hAnsi="Calibri"/>
          <w:b/>
          <w:sz w:val="20"/>
        </w:rPr>
      </w:pPr>
    </w:p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03415B" w:rsidTr="0003415B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03415B" w:rsidTr="0003415B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415B" w:rsidRDefault="0003415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współczesnych koncepcjach zarządzania podkreśla się kluczową rolę klientów w procesie tworzenia wartości przedsiębiorstwa. W module wskazuje się na znaczenie zarządzania wartością dla klienta i wartością klienta we współczesnych przedsiębiorstwach, prezentuje się terminologię oraz metody pomiaru wartości i jej związek z wartością przedsiębiorstwa.</w:t>
            </w:r>
          </w:p>
          <w:p w:rsidR="0003415B" w:rsidRDefault="0003415B">
            <w:pPr>
              <w:rPr>
                <w:rFonts w:ascii="Calibri" w:hAnsi="Calibri"/>
                <w:sz w:val="20"/>
              </w:rPr>
            </w:pP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03415B" w:rsidTr="0003415B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03415B" w:rsidTr="0003415B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415B" w:rsidRDefault="0003415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Zapoznanie słuchaczy z podstawowymi zagadnieniami procesu zarządzania wartością klienta i dla klienta oraz uwarunkowaniami jego  realizacji. Pozyskanie umiejętności i wiedzy praktycznej niezbędnej do sprawnego zarządzania wartością klienta. </w:t>
            </w:r>
          </w:p>
          <w:p w:rsidR="0003415B" w:rsidRDefault="0003415B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991"/>
        <w:gridCol w:w="4943"/>
      </w:tblGrid>
      <w:tr w:rsidR="0003415B" w:rsidTr="0003415B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Opis efektów uczenia się modułu  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uczenia się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Odniesienie do efektów uczenia się </w:t>
            </w:r>
          </w:p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</w:p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</w:p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student zna uwarunkowania i modele oraz standardowe metody pomiaru wartości dla klienta 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K_W14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</w:p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</w:p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03415B" w:rsidRDefault="0003415B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student analizuje zjawiska i procesy zachodzące w organizacji oraz jej otoczeniu w celu identyfikacji czynników wpływających na wartość dla klienta </w:t>
            </w:r>
          </w:p>
          <w:p w:rsidR="0003415B" w:rsidRDefault="0003415B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K_U01</w:t>
            </w:r>
          </w:p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K_U02</w:t>
            </w:r>
          </w:p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Jest świadom znaczenia profesjonalnego podejścia do klienta 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K_K04</w:t>
            </w:r>
          </w:p>
          <w:p w:rsidR="0003415B" w:rsidRDefault="000341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429"/>
        <w:gridCol w:w="1429"/>
        <w:gridCol w:w="1429"/>
        <w:gridCol w:w="1429"/>
        <w:gridCol w:w="1429"/>
        <w:gridCol w:w="1788"/>
      </w:tblGrid>
      <w:tr w:rsidR="0003415B" w:rsidTr="0003415B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Kryteria oceny efektów uczenia się oraz metody ich weryfikacji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uczenia się </w:t>
            </w:r>
          </w:p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03415B" w:rsidRDefault="0003415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03415B" w:rsidRDefault="0003415B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uczenia się  </w:t>
            </w:r>
          </w:p>
          <w:p w:rsidR="0003415B" w:rsidRDefault="0003415B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nie zna uwarunkowań i nie posiada wiedzy dot. modeli oraz standardowych metod pomiaru wartości dla klienta.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posiada podstawową  wiedzę z zakresu uwarunkowań i modeli oraz standardowych metod pomiaru wartości dla klienta.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dobrze zna uwarunkowania i modele oraz standardowe metody pomiaru wartości dla klienta.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zna uwarunkowania i modele oraz standardowe metody pomiaru wartości dla klienta. Potrafi je zastosować przy rozwiązywaniu problemów praktycznych.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posiada wiedzę z zakresu  uwarunkowań i modeli oraz standardowych metod pomiaru wartości dla klienta znacznie wykraczającą poza program modułu.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EP/EU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nie posiada umiejętności analizy zjawisk i procesów zachodzących w organizacji oraz jej otoczeniu w celu identyfikacji czynników wpływających na wartość dla klienta.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potrafi w ograniczonym zakresie dokonać analizy zjawisk i procesów zachodzących w organizacji oraz jej otoczeniu w celu identyfikacji czynników wpływających na wartość dla klienta. Nie wyciąga żadnych wniosków z uzyskanych wyników.  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poprawnie dokonuje analizy zjawisk i procesów zachodzących w organizacji oraz jej otoczeniu w celu identyfikacji czynników wpływających na wartość dla klienta, wysuwając proste wnioski. Przypadki trudniejsze wymagają ukierunkowania przez nauczyciela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potrafi dokonać analizy zjawisk i procesów zachodzących w organizacji oraz jej otoczeniu w celu identyfikacji czynników wpływających na wartość dla klienta. </w:t>
            </w:r>
          </w:p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Potrafi dokonać interpretacji uzyskanych wyników.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Umiejętności studenta w zakresie analizy zjawisk i procesów zachodzących w organizacji oraz jej otoczeniu w celu identyfikacji czynników wpływających na wartość dla klienta znacznie wykraczają </w:t>
            </w:r>
          </w:p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poza program modułu.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CS, PR</w:t>
            </w:r>
          </w:p>
        </w:tc>
      </w:tr>
      <w:tr w:rsidR="0003415B" w:rsidTr="0003415B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415B" w:rsidRDefault="000341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  <w:p w:rsidR="0003415B" w:rsidRDefault="0003415B">
            <w:pPr>
              <w:pStyle w:val="Nagwek1"/>
              <w:rPr>
                <w:rFonts w:ascii="Calibri" w:hAnsi="Calibri"/>
                <w:b w:val="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nie jest świadom znaczenia profesjonalnego podejścia do klienta.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wykazuje zainteresowanie wiedzą jedynie odtwórczą.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wykazuje duże zainteresowanie wiedzą i umiejętnościami w zakresie profesjonalnego podejścia do klienta.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wykazuje się w pełni profesjonalną wiedzą oraz umiejętnościami w zakresie profesjonalnego podejścia do klienta.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jest w pełni gotowy i świadomy podejmowanych działań w zakresie profesjonalnego podejścia do klienta.  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03415B" w:rsidRDefault="0003415B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p w:rsidR="0003415B" w:rsidRDefault="0003415B" w:rsidP="0003415B">
      <w:pPr>
        <w:numPr>
          <w:ilvl w:val="0"/>
          <w:numId w:val="1"/>
        </w:numPr>
        <w:tabs>
          <w:tab w:val="num" w:pos="142"/>
        </w:tabs>
        <w:ind w:hanging="100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symbol efektu uczenia się  </w:t>
      </w:r>
    </w:p>
    <w:p w:rsidR="0003415B" w:rsidRDefault="0003415B" w:rsidP="0003415B">
      <w:pPr>
        <w:numPr>
          <w:ilvl w:val="0"/>
          <w:numId w:val="1"/>
        </w:numPr>
        <w:ind w:left="0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K – kolokwium, CS – Case </w:t>
      </w:r>
      <w:proofErr w:type="spellStart"/>
      <w:r>
        <w:rPr>
          <w:rFonts w:ascii="Calibri" w:hAnsi="Calibri"/>
          <w:sz w:val="20"/>
        </w:rPr>
        <w:t>Study</w:t>
      </w:r>
      <w:proofErr w:type="spellEnd"/>
      <w:r>
        <w:rPr>
          <w:rFonts w:ascii="Calibri" w:hAnsi="Calibri"/>
          <w:sz w:val="20"/>
        </w:rPr>
        <w:t xml:space="preserve">, itp. </w:t>
      </w:r>
    </w:p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8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6"/>
        <w:gridCol w:w="5919"/>
      </w:tblGrid>
      <w:tr w:rsidR="0003415B" w:rsidTr="0003415B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Treści kształcenia modułu    </w:t>
            </w:r>
          </w:p>
        </w:tc>
      </w:tr>
      <w:tr w:rsidR="0003415B" w:rsidTr="0003415B">
        <w:trPr>
          <w:trHeight w:val="225"/>
          <w:jc w:val="center"/>
        </w:trPr>
        <w:tc>
          <w:tcPr>
            <w:tcW w:w="393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03415B" w:rsidTr="0003415B">
        <w:trPr>
          <w:trHeight w:val="698"/>
          <w:jc w:val="center"/>
        </w:trPr>
        <w:tc>
          <w:tcPr>
            <w:tcW w:w="393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bCs/>
                <w:sz w:val="20"/>
                <w:lang w:val="en-US"/>
              </w:rPr>
              <w:t>Istota</w:t>
            </w:r>
            <w:proofErr w:type="spellEnd"/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lang w:val="en-US"/>
              </w:rPr>
              <w:t>marketingu</w:t>
            </w:r>
            <w:proofErr w:type="spellEnd"/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lang w:val="en-US"/>
              </w:rPr>
              <w:t>relacji</w:t>
            </w:r>
            <w:proofErr w:type="spellEnd"/>
          </w:p>
          <w:p w:rsid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2. Customer Relationship Management </w:t>
            </w:r>
          </w:p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03415B">
              <w:rPr>
                <w:rFonts w:ascii="Calibri" w:hAnsi="Calibri" w:cs="Calibri"/>
                <w:bCs/>
                <w:sz w:val="20"/>
              </w:rPr>
              <w:t xml:space="preserve">3. Wartość klienta a wartość dla klienta </w:t>
            </w:r>
          </w:p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03415B">
              <w:rPr>
                <w:rFonts w:ascii="Calibri" w:hAnsi="Calibri" w:cs="Calibri"/>
                <w:bCs/>
                <w:sz w:val="20"/>
              </w:rPr>
              <w:t>4. Tworzenie wartości dla klienta</w:t>
            </w:r>
          </w:p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03415B">
              <w:rPr>
                <w:rFonts w:ascii="Calibri" w:hAnsi="Calibri" w:cs="Calibri"/>
                <w:bCs/>
                <w:sz w:val="20"/>
              </w:rPr>
              <w:t xml:space="preserve">5. Determinanty wartości dla klienta, </w:t>
            </w:r>
          </w:p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03415B">
              <w:rPr>
                <w:rFonts w:ascii="Calibri" w:hAnsi="Calibri" w:cs="Calibri"/>
                <w:bCs/>
                <w:sz w:val="20"/>
              </w:rPr>
              <w:t xml:space="preserve">6. Czynniki wpływające na wartość dla klienta </w:t>
            </w:r>
            <w:r w:rsidRPr="0003415B">
              <w:rPr>
                <w:rFonts w:ascii="Calibri" w:hAnsi="Calibri" w:cs="Calibri"/>
                <w:bCs/>
                <w:sz w:val="20"/>
              </w:rPr>
              <w:br/>
              <w:t>w Internecie,</w:t>
            </w:r>
          </w:p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03415B">
              <w:rPr>
                <w:rFonts w:ascii="Calibri" w:hAnsi="Calibri" w:cs="Calibri"/>
                <w:bCs/>
                <w:sz w:val="20"/>
              </w:rPr>
              <w:t>7. Strategie konkurowania wartościami dla klienta w Internecie.</w:t>
            </w:r>
          </w:p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03415B">
              <w:rPr>
                <w:rFonts w:ascii="Calibri" w:hAnsi="Calibri" w:cs="Calibri"/>
                <w:bCs/>
                <w:sz w:val="20"/>
              </w:rPr>
              <w:t xml:space="preserve">8. </w:t>
            </w:r>
            <w:r>
              <w:rPr>
                <w:rFonts w:ascii="Calibri" w:hAnsi="Calibri" w:cs="Calibri"/>
                <w:bCs/>
                <w:sz w:val="20"/>
              </w:rPr>
              <w:t>Kluczowe determinanty łańcucha wartości</w:t>
            </w:r>
            <w:r>
              <w:rPr>
                <w:rFonts w:ascii="Calibri" w:hAnsi="Calibri" w:cs="Calibri"/>
                <w:bCs/>
                <w:sz w:val="20"/>
              </w:rPr>
              <w:br/>
              <w:t xml:space="preserve">w kreowaniu sukcesu usług turystycznych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3415B" w:rsidRPr="0003415B" w:rsidRDefault="0003415B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</w:p>
          <w:p w:rsidR="0003415B" w:rsidRPr="0003415B" w:rsidRDefault="0003415B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:rsidR="0003415B" w:rsidRP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8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7209"/>
      </w:tblGrid>
      <w:tr w:rsidR="0003415B" w:rsidTr="0003415B">
        <w:trPr>
          <w:trHeight w:val="163"/>
          <w:jc w:val="center"/>
        </w:trPr>
        <w:tc>
          <w:tcPr>
            <w:tcW w:w="26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415B" w:rsidRDefault="0003415B" w:rsidP="000404AE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63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Zarządzanie wartością klienta: pomiar i strategia, (2010). red. nauk. B. Dobiegała-Korona, T. </w:t>
            </w:r>
            <w:proofErr w:type="spellStart"/>
            <w:r>
              <w:rPr>
                <w:rFonts w:cs="Calibri"/>
                <w:sz w:val="20"/>
                <w:szCs w:val="20"/>
              </w:rPr>
              <w:t>Doligalski</w:t>
            </w:r>
            <w:proofErr w:type="spellEnd"/>
            <w:r>
              <w:rPr>
                <w:rFonts w:cs="Calibri"/>
                <w:sz w:val="20"/>
                <w:szCs w:val="20"/>
              </w:rPr>
              <w:t>, Warszawa: Wydawnictwo "</w:t>
            </w:r>
            <w:proofErr w:type="spellStart"/>
            <w:r>
              <w:rPr>
                <w:rFonts w:cs="Calibri"/>
                <w:sz w:val="20"/>
                <w:szCs w:val="20"/>
              </w:rPr>
              <w:t>Poltext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". </w:t>
            </w:r>
          </w:p>
          <w:p w:rsidR="0003415B" w:rsidRDefault="0003415B" w:rsidP="000404AE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63" w:hanging="284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Doligalski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T. (2013), Internet w zarządzaniu wartością klienta, Oficyna Wydawnicza Szkoły Głównej Handlowej w Warszawie, Warszawa dostępne w Internecie: </w:t>
            </w:r>
            <w:hyperlink r:id="rId6" w:history="1">
              <w:r>
                <w:rPr>
                  <w:rStyle w:val="Hipercze"/>
                  <w:rFonts w:cs="Calibri"/>
                  <w:szCs w:val="20"/>
                </w:rPr>
                <w:t>http://www.marketing-internetowy.edu.pl/ksiazka/download/TDoligalski_Internet_w_zarzadzaniu_2013.05.pdf</w:t>
              </w:r>
            </w:hyperlink>
          </w:p>
        </w:tc>
      </w:tr>
      <w:tr w:rsidR="0003415B" w:rsidTr="0003415B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 xml:space="preserve">Literatura uzupełniająca 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3415B" w:rsidRDefault="0003415B" w:rsidP="000404AE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63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Kozio ł L., &amp; Kozio ł M. (2016). Wykorzystanie koncepcji trychotomii czynników motywacji turystycznej w procesie zarządzania przez tworzenie wartości dla klienta. Zeszyty Naukowe Małopolskiej Wyższej Szkoły Ekonomicznej w Tarnowie, 30(2), 99-116. </w:t>
            </w:r>
            <w:hyperlink r:id="rId7" w:history="1">
              <w:r>
                <w:rPr>
                  <w:rStyle w:val="Hipercze"/>
                  <w:rFonts w:cs="Calibri"/>
                  <w:szCs w:val="20"/>
                </w:rPr>
                <w:t>https://doi.org/10.25944/znmwse.2016.02.99116</w:t>
              </w:r>
            </w:hyperlink>
          </w:p>
          <w:p w:rsidR="0003415B" w:rsidRDefault="0003415B" w:rsidP="000404AE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63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Zawadzka L., Zielińsk G. (2013), </w:t>
            </w:r>
            <w:r>
              <w:rPr>
                <w:rFonts w:cs="Calibri"/>
                <w:i/>
                <w:iCs/>
                <w:sz w:val="20"/>
                <w:szCs w:val="20"/>
              </w:rPr>
              <w:t>Kluczowe determinanty łańcucha wartości w kreowaniu sukcesu usług turystycznych</w:t>
            </w:r>
            <w:r>
              <w:rPr>
                <w:rFonts w:cs="Calibri"/>
                <w:sz w:val="20"/>
                <w:szCs w:val="20"/>
              </w:rPr>
              <w:t xml:space="preserve">. Dostępny w Internecie: </w:t>
            </w:r>
            <w:hyperlink r:id="rId8" w:history="1">
              <w:r>
                <w:rPr>
                  <w:rStyle w:val="Hipercze"/>
                  <w:rFonts w:cs="Calibri"/>
                  <w:szCs w:val="20"/>
                </w:rPr>
                <w:t>http://zif.wzr.pl/pim/2013_4_2_33.pdf</w:t>
              </w:r>
            </w:hyperlink>
          </w:p>
          <w:p w:rsidR="0003415B" w:rsidRDefault="0003415B" w:rsidP="000404AE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63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Tomczyk P. (2013), Zarządzanie wartością klienta. Od koncepcji do wyników przedsiębiorstwa, [w:] Ekonomia, finanse, zarządzanie, K. Poznańska, K.</w:t>
            </w:r>
            <w:r w:rsidR="000404AE">
              <w:rPr>
                <w:rFonts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Kraj (red.), Oficyna Wydawnicza Szkoły Głównej Handlowej w Warszawie, s. 199-224</w:t>
            </w: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03415B" w:rsidTr="0003415B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Metody dydaktyczne</w:t>
            </w:r>
          </w:p>
        </w:tc>
      </w:tr>
      <w:tr w:rsidR="0003415B" w:rsidTr="0003415B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snapToGrid w:val="0"/>
              <w:ind w:left="72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Wykład: </w:t>
            </w:r>
          </w:p>
          <w:p w:rsidR="0003415B" w:rsidRDefault="0003415B" w:rsidP="00AF1D60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prezentacja  treści teoretycznych z użyciem projektora multimedialnego </w:t>
            </w:r>
          </w:p>
          <w:p w:rsidR="0003415B" w:rsidRDefault="0003415B" w:rsidP="00AF1D60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blended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learning (b-learning). </w:t>
            </w:r>
          </w:p>
        </w:tc>
      </w:tr>
    </w:tbl>
    <w:p w:rsidR="0003415B" w:rsidRDefault="0003415B" w:rsidP="0003415B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1859"/>
        <w:gridCol w:w="1859"/>
      </w:tblGrid>
      <w:tr w:rsidR="0003415B" w:rsidTr="0003415B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03415B" w:rsidRDefault="0003415B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03415B" w:rsidRDefault="000341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15B" w:rsidRDefault="0003415B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15B" w:rsidRDefault="0003415B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projektu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Inne (wymienić jakie) (zadania i testy na PE)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3415B" w:rsidRDefault="000341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415B" w:rsidTr="0003415B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3415B" w:rsidRDefault="0003415B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03415B" w:rsidRDefault="0003415B" w:rsidP="0003415B"/>
    <w:p w:rsidR="00B338DF" w:rsidRDefault="00B338DF"/>
    <w:sectPr w:rsidR="00B338DF" w:rsidSect="000341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BC"/>
    <w:multiLevelType w:val="hybridMultilevel"/>
    <w:tmpl w:val="13A03AD6"/>
    <w:lvl w:ilvl="0" w:tplc="B52AB5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14B2"/>
    <w:multiLevelType w:val="hybridMultilevel"/>
    <w:tmpl w:val="4712D528"/>
    <w:lvl w:ilvl="0" w:tplc="B4AEE5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10F6"/>
    <w:multiLevelType w:val="hybridMultilevel"/>
    <w:tmpl w:val="E60C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CEE"/>
    <w:multiLevelType w:val="hybridMultilevel"/>
    <w:tmpl w:val="8CE01284"/>
    <w:lvl w:ilvl="0" w:tplc="5CB64F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15B"/>
    <w:rsid w:val="0003415B"/>
    <w:rsid w:val="000404AE"/>
    <w:rsid w:val="001A6875"/>
    <w:rsid w:val="00A12587"/>
    <w:rsid w:val="00B338DF"/>
    <w:rsid w:val="00CA4122"/>
    <w:rsid w:val="00E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9D0F"/>
  <w15:docId w15:val="{BC881CB3-7259-482B-ADB1-1547321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5B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03415B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03415B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03415B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5B"/>
    <w:rPr>
      <w:rFonts w:ascii="Garamond" w:eastAsia="Times New Roman" w:hAnsi="Garamond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415B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3415B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3415B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Hipercze">
    <w:name w:val="Hyperlink"/>
    <w:semiHidden/>
    <w:unhideWhenUsed/>
    <w:rsid w:val="0003415B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3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4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41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1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f.wzr.pl/pim/2013_4_2_3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5944/znmwse.2016.02.99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-internetowy.edu.pl/ksiazka/download/TDoligalski_Internet_w_zarzadzaniu_2013.05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beata</cp:lastModifiedBy>
  <cp:revision>4</cp:revision>
  <dcterms:created xsi:type="dcterms:W3CDTF">2021-04-16T09:39:00Z</dcterms:created>
  <dcterms:modified xsi:type="dcterms:W3CDTF">2021-04-16T14:13:00Z</dcterms:modified>
</cp:coreProperties>
</file>