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F0" w:rsidRPr="00956F88" w:rsidRDefault="008349BD" w:rsidP="001600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681990" cy="472440"/>
            <wp:effectExtent l="19050" t="0" r="3810" b="0"/>
            <wp:docPr id="1" name="Obraz 1" descr="logo transparentne mw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ansparentne mw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956F88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tbl>
      <w:tblPr>
        <w:tblW w:w="10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A0E5B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Logistyka w Produkcji i Usługach</w:t>
            </w:r>
          </w:p>
        </w:tc>
      </w:tr>
      <w:tr w:rsidR="001600F0" w:rsidRPr="00E04585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E74A2D" w:rsidRDefault="00E74A2D" w:rsidP="001600F0">
            <w:pPr>
              <w:pStyle w:val="Nagwek8"/>
              <w:rPr>
                <w:rFonts w:ascii="Calibri" w:hAnsi="Calibri"/>
                <w:sz w:val="20"/>
                <w:lang w:val="en-GB"/>
              </w:rPr>
            </w:pPr>
            <w:r w:rsidRPr="00E74A2D">
              <w:rPr>
                <w:rFonts w:ascii="Calibri" w:hAnsi="Calibri"/>
                <w:sz w:val="20"/>
                <w:lang w:val="en-GB"/>
              </w:rPr>
              <w:t>Logistics In Production and Service Sector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Nies</w:t>
            </w:r>
            <w:r w:rsidR="00F723E4">
              <w:rPr>
                <w:rFonts w:ascii="Calibri" w:hAnsi="Calibri"/>
                <w:sz w:val="20"/>
              </w:rPr>
              <w:t>tacjonarna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stopień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BE73C4">
        <w:trPr>
          <w:trHeight w:val="161"/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E04585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E04585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D42578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74A2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E04585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862" w:rsidRPr="00A87496" w:rsidRDefault="00F63113" w:rsidP="00697500">
            <w:pPr>
              <w:jc w:val="both"/>
              <w:rPr>
                <w:rFonts w:ascii="Calibri" w:hAnsi="Calibri"/>
                <w:sz w:val="20"/>
              </w:rPr>
            </w:pPr>
            <w:r w:rsidRPr="00750971">
              <w:rPr>
                <w:rFonts w:ascii="Calibri" w:hAnsi="Calibri"/>
                <w:sz w:val="20"/>
              </w:rPr>
              <w:t xml:space="preserve">Moduł ten </w:t>
            </w:r>
            <w:r>
              <w:rPr>
                <w:rFonts w:ascii="Calibri" w:hAnsi="Calibri"/>
                <w:sz w:val="20"/>
              </w:rPr>
              <w:t>stanowi wprowadzenie do tematyki logistyki.  Przedstawiona zostanie ewolucja koncepcji zarządzania fizycznym przepływem dóbr, zarządzania logistycznego oraz zarządzania łańcuchami i sieciami dostaw. Wskazane zostaną czynniki wywołujące wspomnianą ewolucję oraz wskazane związki szeroko rozumianej logistyki z makro i mikroekonomią. Wskazane zostaną związki logistyki z pozostałymi funkcjami w przedsiębiorstwie  jako efekt obecnie obowiązującego procesowego podejścia do zarzadzania skutkującego koniecznymi zmianami organizacyjnymi.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>Celami modułu jest: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Zrozumienie koncepcji rurociągu logistycznego oraz roli jego optymalizacji w procesie kreowania przewagi konkurencyjnej w przedsiębiorstwie. 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Umiejętność zidentyfikowania różnic pomiędzy zarządzaniem fizycznym przepływem dóbr, zarządzaniem logistycznym oraz zarządzaniem łańcuchem dostaw.  </w:t>
            </w:r>
          </w:p>
          <w:p w:rsidR="00634862" w:rsidRPr="00F63113" w:rsidRDefault="00F63113" w:rsidP="00F63113">
            <w:r w:rsidRPr="00A87496">
              <w:rPr>
                <w:rFonts w:asciiTheme="minorHAnsi" w:hAnsiTheme="minorHAnsi" w:cstheme="minorHAnsi"/>
                <w:sz w:val="20"/>
              </w:rPr>
              <w:t>Rozwinięcie kompetencji w zakresie współpracy zespołowej oraz działania na rzecz interesu publicznego.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E73C4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</w:t>
            </w:r>
            <w:r w:rsidR="00C52E25">
              <w:rPr>
                <w:rFonts w:ascii="Calibri" w:hAnsi="Calibri"/>
                <w:sz w:val="20"/>
                <w:szCs w:val="20"/>
              </w:rPr>
              <w:t>01</w:t>
            </w:r>
            <w:r w:rsidR="00497DF4">
              <w:rPr>
                <w:rFonts w:ascii="Calibri" w:hAnsi="Calibri"/>
                <w:sz w:val="20"/>
                <w:szCs w:val="20"/>
              </w:rPr>
              <w:t>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E73C4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</w:t>
            </w:r>
            <w:r w:rsidR="00C52E25">
              <w:rPr>
                <w:rFonts w:ascii="Calibri" w:hAnsi="Calibri"/>
                <w:sz w:val="20"/>
                <w:szCs w:val="20"/>
              </w:rPr>
              <w:t>02++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E73C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956F88" w:rsidRDefault="00497DF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E73C4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</w:t>
            </w:r>
            <w:r w:rsidR="00C52E25">
              <w:rPr>
                <w:rFonts w:ascii="Calibri" w:hAnsi="Calibri"/>
                <w:sz w:val="20"/>
                <w:szCs w:val="20"/>
              </w:rPr>
              <w:t>05++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BE73C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A74DCB" w:rsidP="00497DF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497DF4">
              <w:rPr>
                <w:rFonts w:ascii="Calibri" w:hAnsi="Calibri"/>
                <w:sz w:val="20"/>
                <w:szCs w:val="20"/>
              </w:rPr>
              <w:t xml:space="preserve">tosuje wiedzę celem scharakteryzowania związków pomiędzy logistyką i łańcuchami dostaw a procesami zachodzącymi w mikro i </w:t>
            </w:r>
            <w:proofErr w:type="spellStart"/>
            <w:r w:rsidR="00497DF4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497DF4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E73C4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</w:t>
            </w:r>
            <w:r w:rsidR="00C52E25">
              <w:rPr>
                <w:rFonts w:ascii="Calibri" w:hAnsi="Calibri"/>
                <w:sz w:val="20"/>
                <w:szCs w:val="20"/>
              </w:rPr>
              <w:t>08+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BC474C" w:rsidRPr="00956F88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</w:t>
            </w:r>
            <w:r w:rsidR="00BE73C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956F88" w:rsidRDefault="00BE73C4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</w:t>
            </w:r>
            <w:r w:rsidR="00C52E25">
              <w:rPr>
                <w:rFonts w:ascii="Calibri" w:hAnsi="Calibri"/>
                <w:sz w:val="20"/>
                <w:szCs w:val="20"/>
              </w:rPr>
              <w:t>03+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</w:t>
            </w:r>
            <w:r w:rsidR="00BE73C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C52E25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Default="00BE73C4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</w:t>
            </w:r>
            <w:r w:rsidR="00C52E25">
              <w:rPr>
                <w:rFonts w:ascii="Calibri" w:hAnsi="Calibri"/>
                <w:sz w:val="20"/>
                <w:szCs w:val="20"/>
              </w:rPr>
              <w:t>05++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56F88" w:rsidRDefault="0032652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326524">
              <w:rPr>
                <w:rFonts w:ascii="Calibri" w:hAnsi="Calibri"/>
                <w:sz w:val="20"/>
                <w:szCs w:val="20"/>
              </w:rPr>
              <w:t>rozpoznaje teorię zarządzania logistycznego w produkcji i usługach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676095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326524" w:rsidRDefault="00326524" w:rsidP="00617E82">
            <w:pPr>
              <w:pStyle w:val="Nagwek1"/>
              <w:jc w:val="left"/>
              <w:rPr>
                <w:rFonts w:ascii="Calibri" w:hAnsi="Calibri"/>
                <w:b w:val="0"/>
                <w:szCs w:val="20"/>
              </w:rPr>
            </w:pPr>
            <w:r w:rsidRPr="00326524">
              <w:rPr>
                <w:rFonts w:ascii="Calibri" w:hAnsi="Calibri"/>
                <w:b w:val="0"/>
                <w:szCs w:val="20"/>
              </w:rPr>
              <w:t>W_02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EA55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326524">
              <w:rPr>
                <w:rFonts w:ascii="Calibri" w:hAnsi="Calibri"/>
                <w:sz w:val="20"/>
                <w:szCs w:val="20"/>
              </w:rPr>
              <w:t>zna i rozumie pojęcia wykorzystywane w logistyce produktów i usług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617E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7F77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B7F87">
              <w:rPr>
                <w:rFonts w:ascii="Calibri" w:hAnsi="Calibri"/>
                <w:sz w:val="20"/>
                <w:szCs w:val="20"/>
              </w:rPr>
              <w:t>umie dokonywać prognoz procesów logistycznych na podstawie dostępnych wtórnych źródeł informacji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</w:t>
            </w:r>
            <w:r w:rsidR="00617E8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DB7F87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AA40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DB7F87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B7F87">
              <w:rPr>
                <w:rFonts w:ascii="Calibri" w:hAnsi="Calibri"/>
                <w:sz w:val="20"/>
                <w:szCs w:val="20"/>
              </w:rPr>
              <w:t xml:space="preserve">stosuje wiedzę celem scharakteryzowania związków pomiędzy logistyką i łańcuchami dostaw a procesami zachodzącymi w mikro i </w:t>
            </w:r>
            <w:proofErr w:type="spellStart"/>
            <w:r w:rsidR="00DB7F87">
              <w:rPr>
                <w:rFonts w:ascii="Calibri" w:hAnsi="Calibri"/>
                <w:sz w:val="20"/>
                <w:szCs w:val="20"/>
              </w:rPr>
              <w:t>makrootoczeniu</w:t>
            </w:r>
            <w:proofErr w:type="spellEnd"/>
            <w:r w:rsidR="00DB7F87">
              <w:rPr>
                <w:rFonts w:ascii="Calibri" w:hAnsi="Calibri"/>
                <w:sz w:val="20"/>
                <w:szCs w:val="20"/>
              </w:rPr>
              <w:t xml:space="preserve"> przedsiębiorstw produkcyjnych i usługowych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</w:t>
            </w:r>
            <w:r w:rsidR="00617E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F85D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74DCB">
              <w:rPr>
                <w:rFonts w:ascii="Calibri" w:hAnsi="Calibri"/>
                <w:sz w:val="20"/>
                <w:szCs w:val="20"/>
              </w:rPr>
              <w:t>potrafi przewidywać wielokierunkowe skutki swoich ustaleń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617E82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</w:t>
            </w:r>
            <w:r w:rsidR="00617E8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Default="008A5A93" w:rsidP="00497DF4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6D20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4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74DCB">
              <w:rPr>
                <w:rFonts w:ascii="Calibri" w:hAnsi="Calibri"/>
                <w:sz w:val="20"/>
                <w:szCs w:val="20"/>
              </w:rPr>
              <w:t>potrafi wskazać pragmatyczne związki logistyki z innymi obszarami funkcjonalnymi przedsiębiorstwa oraz zaproponować ich modyfikacje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677896" w:rsidP="00A82413">
            <w:pPr>
              <w:pStyle w:val="Akapitzlist"/>
              <w:ind w:left="8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82413" w:rsidRPr="00497DF4" w:rsidRDefault="00A82413" w:rsidP="00A824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Rozwój zarządzania łańcuchem dostaw w produkcji i usługach</w:t>
            </w:r>
          </w:p>
          <w:p w:rsidR="00A82413" w:rsidRPr="00A82413" w:rsidRDefault="00A82413" w:rsidP="00A824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Czynniki zewnętrzne wywołujące zmiany</w:t>
            </w:r>
          </w:p>
          <w:p w:rsidR="00361F4D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Zmiany strategiczne  w łańcuchach dostaw</w:t>
            </w:r>
            <w:r w:rsidR="00497DF4" w:rsidRPr="00497DF4">
              <w:rPr>
                <w:rFonts w:ascii="Calibri" w:hAnsi="Calibri"/>
                <w:b/>
                <w:sz w:val="20"/>
                <w:szCs w:val="20"/>
              </w:rPr>
              <w:t xml:space="preserve"> producentów i usługodawców</w:t>
            </w:r>
          </w:p>
          <w:p w:rsidR="00361F4D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Logistyka z perspektywy makro i mikroekonomicznej</w:t>
            </w:r>
          </w:p>
          <w:p w:rsidR="0038638B" w:rsidRPr="00497DF4" w:rsidRDefault="00361F4D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497DF4">
              <w:rPr>
                <w:rFonts w:ascii="Calibri" w:hAnsi="Calibri"/>
                <w:b/>
                <w:sz w:val="20"/>
                <w:szCs w:val="20"/>
              </w:rPr>
              <w:t>Związki logistyki z innymi obszarami funkcjonalnymi firmy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1600F0" w:rsidRDefault="0038638B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>B</w:t>
            </w:r>
            <w:r w:rsidR="00EF329E">
              <w:rPr>
                <w:rFonts w:ascii="Calibri" w:hAnsi="Calibri"/>
                <w:i w:val="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Calibri" w:hAnsi="Calibri"/>
                <w:i w:val="0"/>
                <w:szCs w:val="20"/>
              </w:rPr>
              <w:t xml:space="preserve"> Słowiński, Wprowadzenie do logistyki, Wydawni</w:t>
            </w:r>
            <w:r w:rsidR="00EF329E">
              <w:rPr>
                <w:rFonts w:ascii="Calibri" w:hAnsi="Calibri"/>
                <w:i w:val="0"/>
                <w:szCs w:val="20"/>
              </w:rPr>
              <w:t>c</w:t>
            </w:r>
            <w:r>
              <w:rPr>
                <w:rFonts w:ascii="Calibri" w:hAnsi="Calibri"/>
                <w:i w:val="0"/>
                <w:szCs w:val="20"/>
              </w:rPr>
              <w:t>two Uczelniane Politechniki Koszalińskiej, Koszalin 2008</w:t>
            </w:r>
            <w:r w:rsidR="00EF329E">
              <w:rPr>
                <w:rFonts w:ascii="Calibri" w:hAnsi="Calibri"/>
                <w:i w:val="0"/>
                <w:szCs w:val="20"/>
              </w:rPr>
              <w:t>.</w:t>
            </w:r>
          </w:p>
          <w:p w:rsidR="00634862" w:rsidRPr="00697500" w:rsidRDefault="00634862" w:rsidP="00634862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  <w:r w:rsidR="00EF329E">
              <w:rPr>
                <w:rFonts w:ascii="Calibri" w:hAnsi="Calibri"/>
                <w:sz w:val="20"/>
                <w:szCs w:val="20"/>
              </w:rPr>
              <w:t>.</w:t>
            </w:r>
          </w:p>
          <w:p w:rsidR="0038638B" w:rsidRPr="008939A8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C7BA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97DF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277C3D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620C13" w:rsidP="008C7BA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A6471A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620C1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620C1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A6471A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  <w:r w:rsidR="005319B2">
              <w:rPr>
                <w:rFonts w:ascii="Calibri" w:hAnsi="Calibri"/>
                <w:b/>
                <w:sz w:val="20"/>
                <w:szCs w:val="20"/>
              </w:rPr>
              <w:t>(zadania i testy na PE)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620C13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617E82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287D6D" w:rsidRDefault="00287D6D"/>
    <w:sectPr w:rsidR="00287D6D" w:rsidSect="00BE73C4"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41F" w:rsidRDefault="0036241F">
      <w:r>
        <w:separator/>
      </w:r>
    </w:p>
  </w:endnote>
  <w:endnote w:type="continuationSeparator" w:id="0">
    <w:p w:rsidR="0036241F" w:rsidRDefault="003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41F" w:rsidRDefault="0036241F">
      <w:r>
        <w:separator/>
      </w:r>
    </w:p>
  </w:footnote>
  <w:footnote w:type="continuationSeparator" w:id="0">
    <w:p w:rsidR="0036241F" w:rsidRDefault="0036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462"/>
    <w:multiLevelType w:val="hybridMultilevel"/>
    <w:tmpl w:val="FDBE22E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F0"/>
    <w:rsid w:val="00026367"/>
    <w:rsid w:val="0005460F"/>
    <w:rsid w:val="00074D75"/>
    <w:rsid w:val="00080C66"/>
    <w:rsid w:val="000D5504"/>
    <w:rsid w:val="001600F0"/>
    <w:rsid w:val="00187E8A"/>
    <w:rsid w:val="001A0E5B"/>
    <w:rsid w:val="001D6607"/>
    <w:rsid w:val="00215A06"/>
    <w:rsid w:val="00274FAF"/>
    <w:rsid w:val="00277C3D"/>
    <w:rsid w:val="00287D6D"/>
    <w:rsid w:val="002C5AD6"/>
    <w:rsid w:val="002F3FCE"/>
    <w:rsid w:val="00300300"/>
    <w:rsid w:val="003022B9"/>
    <w:rsid w:val="0031506F"/>
    <w:rsid w:val="0032572A"/>
    <w:rsid w:val="00326524"/>
    <w:rsid w:val="00361F4D"/>
    <w:rsid w:val="0036241F"/>
    <w:rsid w:val="0038638B"/>
    <w:rsid w:val="00397DDA"/>
    <w:rsid w:val="003E1CA9"/>
    <w:rsid w:val="003F453D"/>
    <w:rsid w:val="003F458D"/>
    <w:rsid w:val="003F5248"/>
    <w:rsid w:val="00410358"/>
    <w:rsid w:val="00497DF4"/>
    <w:rsid w:val="004F04C8"/>
    <w:rsid w:val="005237BA"/>
    <w:rsid w:val="005319B2"/>
    <w:rsid w:val="0056244C"/>
    <w:rsid w:val="00592C55"/>
    <w:rsid w:val="005C5F06"/>
    <w:rsid w:val="00617E82"/>
    <w:rsid w:val="00620C13"/>
    <w:rsid w:val="00634862"/>
    <w:rsid w:val="00677896"/>
    <w:rsid w:val="006967C4"/>
    <w:rsid w:val="00697500"/>
    <w:rsid w:val="0070101D"/>
    <w:rsid w:val="007C7589"/>
    <w:rsid w:val="0080746B"/>
    <w:rsid w:val="008349BD"/>
    <w:rsid w:val="008966AE"/>
    <w:rsid w:val="008A5A93"/>
    <w:rsid w:val="008B7713"/>
    <w:rsid w:val="008C7BA3"/>
    <w:rsid w:val="00904098"/>
    <w:rsid w:val="00924990"/>
    <w:rsid w:val="00927AD9"/>
    <w:rsid w:val="009301AF"/>
    <w:rsid w:val="0098482C"/>
    <w:rsid w:val="009B4040"/>
    <w:rsid w:val="009C68E6"/>
    <w:rsid w:val="00A453C6"/>
    <w:rsid w:val="00A463F6"/>
    <w:rsid w:val="00A6471A"/>
    <w:rsid w:val="00A66EC0"/>
    <w:rsid w:val="00A679C4"/>
    <w:rsid w:val="00A67C61"/>
    <w:rsid w:val="00A74DCB"/>
    <w:rsid w:val="00A75BC3"/>
    <w:rsid w:val="00A82413"/>
    <w:rsid w:val="00A87496"/>
    <w:rsid w:val="00A94D1B"/>
    <w:rsid w:val="00AA61D7"/>
    <w:rsid w:val="00B01AE2"/>
    <w:rsid w:val="00B75334"/>
    <w:rsid w:val="00BB63D6"/>
    <w:rsid w:val="00BC474C"/>
    <w:rsid w:val="00BD01A8"/>
    <w:rsid w:val="00BE271B"/>
    <w:rsid w:val="00BE73C4"/>
    <w:rsid w:val="00C2176A"/>
    <w:rsid w:val="00C35BCD"/>
    <w:rsid w:val="00C36DA3"/>
    <w:rsid w:val="00C52E25"/>
    <w:rsid w:val="00C96B07"/>
    <w:rsid w:val="00CA0D1E"/>
    <w:rsid w:val="00D42578"/>
    <w:rsid w:val="00D6202D"/>
    <w:rsid w:val="00D8328B"/>
    <w:rsid w:val="00DB7F87"/>
    <w:rsid w:val="00E04585"/>
    <w:rsid w:val="00E136FE"/>
    <w:rsid w:val="00E74A2D"/>
    <w:rsid w:val="00EE2F9C"/>
    <w:rsid w:val="00EF2C64"/>
    <w:rsid w:val="00EF329E"/>
    <w:rsid w:val="00F04D5B"/>
    <w:rsid w:val="00F10DB3"/>
    <w:rsid w:val="00F20027"/>
    <w:rsid w:val="00F23533"/>
    <w:rsid w:val="00F3284F"/>
    <w:rsid w:val="00F63113"/>
    <w:rsid w:val="00F67982"/>
    <w:rsid w:val="00F723E4"/>
    <w:rsid w:val="00FA056F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1A6B"/>
  <w15:docId w15:val="{70574F9C-822B-4FF3-8400-FF6E3C6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31C0-F16E-4DB1-8362-AA9DF23C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beata</cp:lastModifiedBy>
  <cp:revision>3</cp:revision>
  <dcterms:created xsi:type="dcterms:W3CDTF">2021-04-16T07:51:00Z</dcterms:created>
  <dcterms:modified xsi:type="dcterms:W3CDTF">2021-04-16T14:05:00Z</dcterms:modified>
</cp:coreProperties>
</file>